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готовность к обучению в школе и ее диагностика на разных возрастных этапах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готовность к обучению в школе и ее диагностика на разных возрастных этапах»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«Психологическая готовность к обучению в школе и ее диагностика на разных возрастных этапах».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готовность к обучению в школе и ее диагностика на разных возрастных этапах»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«Психологическая готовность к обучению в школе и ее диагностика на разных возрастных этапах»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97.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r>
        <w:trPr>
          <w:trHeight w:hRule="exact" w:val="21.31608"/>
        </w:trPr>
        <w:tc>
          <w:tcPr>
            <w:tcW w:w="9640" w:type="dxa"/>
          </w:tcPr>
          <w:p/>
        </w:tc>
      </w:tr>
      <w:tr>
        <w:trPr>
          <w:trHeight w:hRule="exact" w:val="292.5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готовность к обучению в школе и ее диагностика на разных возрастных этапах»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978-5-209-08188-3.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http://www.iprbookshop.ru/91058.html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Психоэмоциональное</w:t>
            </w:r>
            <w:r>
              <w:rPr/>
              <w:t xml:space="preserve"> </w:t>
            </w:r>
            <w:r>
              <w:rPr>
                <w:rFonts w:ascii="Times New Roman" w:hAnsi="Times New Roman" w:cs="Times New Roman"/>
                <w:color w:val="#000000"/>
                <w:sz w:val="24"/>
                <w:szCs w:val="24"/>
              </w:rPr>
              <w:t>благополучие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Идобаева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https://urait.ru/bcode/422791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Роршах,</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3-456-30554-0,</w:t>
            </w:r>
            <w:r>
              <w:rPr/>
              <w:t xml:space="preserve"> </w:t>
            </w:r>
            <w:r>
              <w:rPr>
                <w:rFonts w:ascii="Times New Roman" w:hAnsi="Times New Roman" w:cs="Times New Roman"/>
                <w:color w:val="#000000"/>
                <w:sz w:val="24"/>
                <w:szCs w:val="24"/>
              </w:rPr>
              <w:t>5-89353-089-6.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3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(ПО)(23)_plx_Психологическая готовность к обучению в школе и ее диагностика на разных возрастных этапах</dc:title>
  <dc:creator>FastReport.NET</dc:creator>
</cp:coreProperties>
</file>